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25" w:rsidRPr="00077350" w:rsidRDefault="002C6825" w:rsidP="002157DA">
      <w:pPr>
        <w:pStyle w:val="a5"/>
        <w:jc w:val="both"/>
        <w:rPr>
          <w:rFonts w:ascii="Times New Roman" w:eastAsia="Times New Roman" w:hAnsi="Times New Roman" w:cs="Times New Roman"/>
          <w:vanish/>
          <w:color w:val="404040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2C6825" w:rsidRPr="00077350" w:rsidTr="002C682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6825" w:rsidRPr="00077350" w:rsidRDefault="002C6825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999999"/>
                <w:sz w:val="28"/>
                <w:szCs w:val="28"/>
                <w:lang w:eastAsia="ru-RU"/>
              </w:rPr>
            </w:pPr>
          </w:p>
        </w:tc>
      </w:tr>
      <w:tr w:rsidR="002C6825" w:rsidRPr="00077350" w:rsidTr="00FA133E">
        <w:trPr>
          <w:trHeight w:val="14757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1F02" w:rsidRDefault="00077350" w:rsidP="00BF1F02">
            <w:pPr>
              <w:pStyle w:val="a5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       </w:t>
            </w:r>
            <w:r w:rsidR="00BF1F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 w:rsidR="00BF1F02">
              <w:t>«Утверждены»</w:t>
            </w:r>
          </w:p>
          <w:p w:rsidR="00BF1F02" w:rsidRDefault="00BF1F02" w:rsidP="00BF1F02">
            <w:pPr>
              <w:pStyle w:val="a5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Решением Совета </w:t>
            </w:r>
            <w:proofErr w:type="gramStart"/>
            <w:r>
              <w:t>Адвокатской</w:t>
            </w:r>
            <w:proofErr w:type="gramEnd"/>
          </w:p>
          <w:p w:rsidR="00BF1F02" w:rsidRDefault="00BF1F02" w:rsidP="00BF1F02">
            <w:pPr>
              <w:pStyle w:val="a5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палаты Иркутской области</w:t>
            </w:r>
          </w:p>
          <w:p w:rsidR="00BF1F02" w:rsidRDefault="00BF1F02" w:rsidP="00BF1F02">
            <w:pPr>
              <w:pStyle w:val="a5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6 ноября 2014г.</w:t>
            </w:r>
          </w:p>
          <w:p w:rsidR="00BF1F02" w:rsidRDefault="00BF1F02" w:rsidP="00BF1F02">
            <w:pPr>
              <w:pStyle w:val="a5"/>
              <w:jc w:val="both"/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97"/>
              <w:gridCol w:w="271"/>
              <w:gridCol w:w="287"/>
            </w:tblGrid>
            <w:tr w:rsidR="00BF1F02" w:rsidRPr="00077350" w:rsidTr="00EE33E7">
              <w:trPr>
                <w:tblCellSpacing w:w="15" w:type="dxa"/>
              </w:trPr>
              <w:tc>
                <w:tcPr>
                  <w:tcW w:w="4678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1F02" w:rsidRPr="00077350" w:rsidRDefault="00BF1F02" w:rsidP="00EE33E7">
                  <w:pPr>
                    <w:pStyle w:val="a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F8723E"/>
                      <w:sz w:val="28"/>
                      <w:szCs w:val="28"/>
                      <w:lang w:eastAsia="ru-RU"/>
                    </w:rPr>
                  </w:pPr>
                  <w:r w:rsidRPr="0007735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F8723E"/>
                      <w:sz w:val="28"/>
                      <w:szCs w:val="28"/>
                      <w:lang w:eastAsia="ru-RU"/>
                    </w:rPr>
                    <w:t xml:space="preserve">Разъяснения Совета адвокатской палаты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F8723E"/>
                      <w:sz w:val="28"/>
                      <w:szCs w:val="28"/>
                      <w:lang w:eastAsia="ru-RU"/>
                    </w:rPr>
                    <w:t>Иркутской области</w:t>
                  </w:r>
                  <w:r w:rsidRPr="0007735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F8723E"/>
                      <w:sz w:val="28"/>
                      <w:szCs w:val="28"/>
                      <w:lang w:eastAsia="ru-RU"/>
                    </w:rPr>
                    <w:t xml:space="preserve"> о минимальной продолжительности времени ознакомления с материалами уголовного дела</w:t>
                  </w:r>
                </w:p>
              </w:tc>
              <w:tc>
                <w:tcPr>
                  <w:tcW w:w="129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1F02" w:rsidRPr="00077350" w:rsidRDefault="00BF1F02" w:rsidP="00EE33E7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9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1F02" w:rsidRPr="00077350" w:rsidRDefault="00BF1F02" w:rsidP="00EE33E7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F1F02" w:rsidRDefault="00BF1F02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77350" w:rsidRDefault="00BF1F02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В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последние годы у адвокатов </w:t>
            </w:r>
            <w:r w:rsid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Иркутской области нередко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возникают вопросы, касающиеся минимально допустимой продолжительности времени ознакомления с материалами уголовных дел и обоснованности решений правоприменительных органов об ограничении адвокатов во времени ознакомления с материалами уголовных дел.</w:t>
            </w:r>
          </w:p>
          <w:p w:rsidR="002C6825" w:rsidRPr="00077350" w:rsidRDefault="002C6825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Исходя из целей надлежащего выполнения адвокатами профессиональных обязанностей и обеспечения оказания доверителям квалифицированной юридической помощи, изучив соответствующую правоприменительную практику, Совет Адвокатской палаты </w:t>
            </w:r>
            <w:r w:rsid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Иркутской области </w:t>
            </w:r>
            <w:r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считает </w:t>
            </w:r>
            <w:r w:rsid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целесообразным</w:t>
            </w:r>
            <w:r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довести до адвокатов следующие рекомендации. </w:t>
            </w:r>
          </w:p>
          <w:p w:rsidR="002C6825" w:rsidRPr="00077350" w:rsidRDefault="00077350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Ознакомление адвоката-защитника (далее по тексту - защитник) с материалами уголовного дела регламентировано законодателем в ряде норм Уголовно-процессуального кодекса Российской Федерации.</w:t>
            </w:r>
          </w:p>
          <w:p w:rsidR="002C6825" w:rsidRPr="00077350" w:rsidRDefault="00077350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соответствии с п</w:t>
            </w:r>
            <w:r w:rsidR="00E47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унктом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 ч</w:t>
            </w:r>
            <w:r w:rsidR="00E47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асти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ст</w:t>
            </w:r>
            <w:r w:rsidR="00E47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атьи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53 УПК РФ с момента допуска к участию в уголовном деле защитник вправе знакомиться с протоколом задержания, постановлением о применении меры пресечения, протоколами следственных действий, произведенных с участием подозреваемого, обвиняемого, иными документами, которые предъявлялись либо должны были предъявляться подозреваемому, обвиняемому. </w:t>
            </w:r>
          </w:p>
          <w:p w:rsidR="002C6825" w:rsidRPr="00077350" w:rsidRDefault="00077350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соответствии с п</w:t>
            </w:r>
            <w:r w:rsidR="00E47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унктом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 ч</w:t>
            </w:r>
            <w:r w:rsidR="00E47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асти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ст</w:t>
            </w:r>
            <w:r w:rsidR="00E47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атьи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53 УПК РФ по окончании предварительного расследования защитник вправе знакомиться со всеми материалами уголовного дела, выписывать из уголовного дела любые сведения в любом объеме, снимать за свой счет копии с материалов уголовного дела, в том числе с помощью технических средств. </w:t>
            </w:r>
          </w:p>
          <w:p w:rsidR="002C6825" w:rsidRPr="00077350" w:rsidRDefault="00077350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соответствии со ст</w:t>
            </w:r>
            <w:r w:rsidR="00E47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атьей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217 УПК РФ после выполнения требования ст</w:t>
            </w:r>
            <w:r w:rsidR="00E47B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атьи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216 УПК РФ следователь объявляет обвиняемому и его защитнику подшитые и пронумерованные материалы уголовного дела, за исключением случаев, предусмотренных частью девятой статьи 166 УПК РФ. Для ознакомления предъявляются также вещественные доказательства и по просьбе обвиняемого или его защитника фотографии, материалы ауди</w:t>
            </w:r>
            <w:proofErr w:type="gramStart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о-</w:t>
            </w:r>
            <w:proofErr w:type="gramEnd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(или) видеозаписи, киносъемки и иные приложения к протоколам следственных действий. В случае невозможности предъявления вещественных доказатель</w:t>
            </w:r>
            <w:proofErr w:type="gramStart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ств сл</w:t>
            </w:r>
            <w:proofErr w:type="gramEnd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едователь выносит об этом постановление. По ходатайству обвиняемого и его защитника следователь предоставляет им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возможность знакомиться с материалами уголовного дела раздельно. </w:t>
            </w:r>
          </w:p>
          <w:p w:rsidR="002C6825" w:rsidRPr="00077350" w:rsidRDefault="00E47B93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 процессе ознакомления с материалами уголовного дела, состоящего из нескольких томов, обвиняемый и его защитник вправе повторно обращаться к любому из томов уголовного дела, а также выписывать любые сведения и в любом объеме, снимать копии с документов, в том числе с помощью технических средств. </w:t>
            </w:r>
          </w:p>
          <w:p w:rsidR="002C6825" w:rsidRPr="00077350" w:rsidRDefault="00E47B93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Обвиняемый и его защитник не могут ограничиваться во времени, необходимом им для ознакомления с материалами уголовного дела. </w:t>
            </w:r>
          </w:p>
          <w:p w:rsidR="002C6825" w:rsidRPr="00077350" w:rsidRDefault="00E47B93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окончании ознакомления обвиняемого и его защитника с материалами уголовного дела следователь выясняет, какие у них имеются ходатайства или иные заявления. При этом у обвиняемого и его защитника выясняется, какие свидетели, эксперты, специалисты подлежат вызову в судебное заседание для допроса и подтверждения позиции стороны защиты.</w:t>
            </w:r>
          </w:p>
          <w:p w:rsidR="002C6825" w:rsidRPr="00077350" w:rsidRDefault="00E47B93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Стороне защиты на</w:t>
            </w:r>
            <w:bookmarkStart w:id="0" w:name="_GoBack"/>
            <w:bookmarkEnd w:id="0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основании судебного решения может быть установлен определенный срок для ознакомления с материалами уголовного дела только при условии предоставления стороной обвинения в материалы дела достаточных доказательств, подтверждающих явное затягивание стороной защиты времени ознакомления.</w:t>
            </w:r>
          </w:p>
          <w:p w:rsidR="002C6825" w:rsidRPr="00077350" w:rsidRDefault="00E47B93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Согласно ч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асти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 ст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атьи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219 УПК РФ по окончании производства дополнительных следственных действий следователь уведомляет об этом лиц, указанных в части первой статьи 216 и части первой статьи 217 УПК РФ, и предоставляет им возможность ознакомления с дополнительными материалами уголовного дела.</w:t>
            </w:r>
          </w:p>
          <w:p w:rsidR="002C6825" w:rsidRPr="00077350" w:rsidRDefault="00E47B93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соответствии с ч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астью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3 ст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атьи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227 УПК РФ при поступлении уголовного дела в суд по просьбе стороны судья вправе предоставить ей возможность дополнительного ознакомления с материалами уголовного дела. </w:t>
            </w:r>
          </w:p>
          <w:p w:rsidR="002C6825" w:rsidRPr="00077350" w:rsidRDefault="00E47B93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Частью 3 ст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атьи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248 УПК РФ предусмотрено, что в случае замены защитника суд предоставляет вновь вступившему в уголовное дело защитнику время для ознакомления с материалами уголовного дела и подготовки к участию в судебном разбирательстве. </w:t>
            </w:r>
          </w:p>
          <w:p w:rsidR="002C6825" w:rsidRPr="00077350" w:rsidRDefault="00E47B93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 В настоящее время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как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УПК РФ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судебно-следственной практике, процессуальной литературе не выработаны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единые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критерии определения необходимого и достаточного времени для ознакомления защитника с материалами уголовного дела. </w:t>
            </w:r>
            <w:proofErr w:type="gramStart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Это связано как со сложностью усреднения объективных, субъективных и ситуационных обстоятельств уголовного дела, содержание и объем которых индивидуальны, так и с рядом субъективных причин, в частности, неоправданным приданием приоритета одних принципов уголовного судопроизводства перед другими (в частности, таких принципов, как защита прав и законных интересов лиц и организаций, потерпевших от преступлений, разумный срок уголовного судопроизводства перед принципами защиты личности от</w:t>
            </w:r>
            <w:proofErr w:type="gramEnd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незаконного и необоснованного обвинения, осуждения, ограничения ее прав и свобод, состязательности сторон и обеспечения подозреваемому и обвиняемому права на защиту). В определенной мере, подобное положение может быть объяснено прямой заинтересованностью правоприменительных органов в ограничении права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обвиняемого на защиту. </w:t>
            </w:r>
          </w:p>
          <w:p w:rsidR="002C6825" w:rsidRPr="00077350" w:rsidRDefault="00E47B93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3. Ознакомление с материалами уголовного дела представляет собой трудоемкую интеллектуальную деятельность, состоящую из детального изучения, анализа, сопоставления и </w:t>
            </w:r>
            <w:proofErr w:type="gramStart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оценки</w:t>
            </w:r>
            <w:proofErr w:type="gramEnd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имеющихся в материалах дела документов и сведений и требующую от защитника восприятия, понимания и осмысления информации, собранной по делу, применительно к задачам, стоящим перед стороной защиты.</w:t>
            </w:r>
          </w:p>
          <w:p w:rsidR="002C6825" w:rsidRPr="00077350" w:rsidRDefault="0007237B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Процесс ознакомления защитника с материалами уголовного дела включает в себя, как минимум, следующие элементы: </w:t>
            </w:r>
          </w:p>
          <w:p w:rsidR="002C6825" w:rsidRPr="00077350" w:rsidRDefault="002C6825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1) установление смысла представленных документов и доказательств;</w:t>
            </w:r>
          </w:p>
          <w:p w:rsidR="002C6825" w:rsidRPr="00077350" w:rsidRDefault="002C6825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2) установление связи между отдельными частями материалов уголовного дела, то есть оценка соответствия различных документов и доказательств между собой;</w:t>
            </w:r>
          </w:p>
          <w:p w:rsidR="002C6825" w:rsidRPr="00077350" w:rsidRDefault="002C6825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3) анализ движения дела с точки зрения требований уголовно-процессуального законодательства;</w:t>
            </w:r>
          </w:p>
          <w:p w:rsidR="002C6825" w:rsidRPr="00077350" w:rsidRDefault="002C6825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4) анализ дела с точки зрения подлежащих применению норм материального и процессуального законодательства;</w:t>
            </w:r>
          </w:p>
          <w:p w:rsidR="002C6825" w:rsidRPr="00077350" w:rsidRDefault="002C6825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5) конструирование моделей объяснения и опровержения представленных доказательств, их обсуждение и согласование с подзащитным;</w:t>
            </w:r>
          </w:p>
          <w:p w:rsidR="002C6825" w:rsidRPr="00077350" w:rsidRDefault="002C6825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6) формирование согласованной с подзащитным и основанной на изученных материалах дела позиции стороны защиты;</w:t>
            </w:r>
          </w:p>
          <w:p w:rsidR="002C6825" w:rsidRPr="00077350" w:rsidRDefault="002C6825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7) процессуальное оформление позиции стороны защиты (подготовка соответствующих заявлений, ходатайств, жалоб и т.п.)</w:t>
            </w:r>
          </w:p>
          <w:p w:rsidR="002C6825" w:rsidRPr="00077350" w:rsidRDefault="0007237B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Таким образом, ознакомление с материалами уголовного дела представляет собой деятельность по анализу, оценке, сопоставлению и преобразованию информации для выстраивания к ней отношения и формирования позиции защиты, требующей значительных временных затрат.</w:t>
            </w:r>
          </w:p>
          <w:p w:rsidR="0007237B" w:rsidRDefault="0007237B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При этом, фотографирование или копирование адвокатом материалов уголовного дела, как таковое, не может приравниваться к ознакомлению с материалами дела, поскольку является лишь формой и способом реализации права адвоката снимать копии с документов, в том числе с помощью технических средств. </w:t>
            </w:r>
          </w:p>
          <w:p w:rsidR="002C6825" w:rsidRPr="00077350" w:rsidRDefault="0007237B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Попытки некоторых </w:t>
            </w:r>
            <w:proofErr w:type="spellStart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правоприменителей</w:t>
            </w:r>
            <w:proofErr w:type="spellEnd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прировнять получение стороной защиты копий материалов дела к фактическому ознакомлению с ними не основаны</w:t>
            </w:r>
            <w:proofErr w:type="gramEnd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законе и противоречат смыслу предоставленных стороне защиты прав. </w:t>
            </w:r>
          </w:p>
          <w:p w:rsidR="002C6825" w:rsidRPr="00077350" w:rsidRDefault="0007237B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 определении времени, необходимого защитнику для надлежащего ознакомлении с материалами уголовного дела, надлежит учитывать объем дела, сложность квалификации предъявленного обвинения, количество обвиняемых, количество инкриминируемых деяний, подсудность дела, объем обстоятельств, подлежащих доказыванию, наличие в материалах дела экспертиз, аудио- и видеозаписей, необходимость дополнительного изучения сложившейся судебной практики, а также время для надлежащего процессуального оформления избранной стороной защиты стратегии и тактики защиты (подготовка</w:t>
            </w:r>
            <w:proofErr w:type="gramEnd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соответствующих заявлений, ходатайств, жалоб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 т.п.).</w:t>
            </w:r>
          </w:p>
          <w:p w:rsidR="002C6825" w:rsidRPr="00077350" w:rsidRDefault="0007237B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 процессе ознакомления с материалами дела защитнику необходимо обращать особое внимание на формирование и согласование с подзащитным позиции по делу. Процесс согласования позиции с подзащитным надлежит воспринимать как один из обязательных элементов процесса ознакомления с материалами дела. </w:t>
            </w:r>
            <w:proofErr w:type="gramStart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Согласование позиции с подзащитным включает в себя, в частности, разъяснение ему смысла и содержания обвинения, процессуальных документов, собранных по делу, норм уголовного и уголовно-процессуального законодательства, подлежащих применению при рассмотрении дела, обсуждение вопросов, касающихся представления дополнительных доказательств защиты, конструирование моделей объяснения и опровержения представленных доказательств, подготовку соответствующих заявлений, ходатайств, жалоб и т.п.</w:t>
            </w:r>
            <w:proofErr w:type="gramEnd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Эти действия должны учитываться при определении времени, необходимого стороне защиты для ознакомления с материалами дела. Кроме того, при раздельном ознакомлении адвоката и подзащитного с материалами дела, при нахождении подзащитного под стражей, процесс ознакомления, а также последующее согласование позиции по делу требует дополнительных временных затрат. Дополнительных временных затрат требует также реализация ряда специальных процессуальных норм, в частности, связанных с институтом государственной и иной охраняемой федеральным законом тайны (ч. 2 ст. 217 УПК РФ); с необходимостью ознакомления с вещественными доказательствами, которые не хранятся при уголовном деле (ст. 82 УПК РФ) и т.п. </w:t>
            </w:r>
          </w:p>
          <w:p w:rsidR="002C6825" w:rsidRPr="00077350" w:rsidRDefault="0007237B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Всестороннее и полное изучение защитником материалов уголовного дела как в ходе выполнения требований ст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атьи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217 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ПК РФ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так и в суде, в частности, в случае принятии адвокатом на себя защиты в ходе судебного производства, является его профессиональной обязанностью.</w:t>
            </w:r>
          </w:p>
          <w:p w:rsidR="002C6825" w:rsidRPr="00077350" w:rsidRDefault="0007237B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Пренебрежение адвокатом-защитником указанной обязанностью и ознакомление с материалами уголовного дела по просьбе либо требованию органов дознания, предварительного следствия либо суда без учета изложенных в настоящем Разъяснении критериев, в сроки, явно недостаточные для осуществления квалифицированной защиты, является недопустимым и может рассматриваться в качестве дисциплинарного проступка, влекущего соответствующую дисциплинарную ответственность адвоката.</w:t>
            </w:r>
          </w:p>
          <w:p w:rsidR="002C6825" w:rsidRPr="00077350" w:rsidRDefault="0007237B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 Необоснованное ограничение защитника во времени ознакомления с материалами уголовных дел, без учета изложенных в настоящем Разъяснении критериев, недопустимо, поскольку влечет за собой нарушение права на защиту обвиняемого.</w:t>
            </w:r>
          </w:p>
          <w:p w:rsidR="002C6825" w:rsidRPr="00077350" w:rsidRDefault="0007237B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 Исходя из изложенного, адвокатам-защитникам при ознакомлении с материалами уголовного дела рекомендуется руководствоваться следующими рекомендациями по продолжительности времени ознакомления:</w:t>
            </w:r>
          </w:p>
          <w:tbl>
            <w:tblPr>
              <w:tblW w:w="9356" w:type="dxa"/>
              <w:tblCellSpacing w:w="15" w:type="dxa"/>
              <w:tblBorders>
                <w:top w:val="outset" w:sz="12" w:space="0" w:color="000000"/>
                <w:left w:val="outset" w:sz="12" w:space="0" w:color="000000"/>
                <w:bottom w:val="outset" w:sz="12" w:space="0" w:color="000000"/>
                <w:right w:val="outset" w:sz="12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7494"/>
              <w:gridCol w:w="1397"/>
            </w:tblGrid>
            <w:tr w:rsidR="002C6825" w:rsidRPr="00077350" w:rsidTr="002C6825">
              <w:trPr>
                <w:tblCellSpacing w:w="15" w:type="dxa"/>
              </w:trPr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07735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7.1.</w:t>
                  </w:r>
                </w:p>
              </w:tc>
              <w:tc>
                <w:tcPr>
                  <w:tcW w:w="76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7237B" w:rsidRDefault="002C6825" w:rsidP="0007237B">
                  <w:pPr>
                    <w:pStyle w:val="a5"/>
                    <w:ind w:right="1140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07735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материалы уголовных дел, не составляющих </w:t>
                  </w:r>
                </w:p>
                <w:p w:rsidR="002C6825" w:rsidRPr="00077350" w:rsidRDefault="0007237B" w:rsidP="0007237B">
                  <w:pPr>
                    <w:pStyle w:val="a5"/>
                    <w:ind w:right="1140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07735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особую </w:t>
                  </w:r>
                  <w:r w:rsidR="002C6825" w:rsidRPr="0007735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сложность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07735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как </w:t>
                  </w:r>
                  <w:proofErr w:type="gramStart"/>
                  <w:r w:rsidRPr="0007735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правило, не менее двух дней</w:t>
                  </w:r>
                  <w:proofErr w:type="gramEnd"/>
                  <w:r w:rsidRPr="0007735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на изучение одного тома уголовного дела</w:t>
                  </w:r>
                </w:p>
              </w:tc>
            </w:tr>
            <w:tr w:rsidR="002C6825" w:rsidRPr="00077350" w:rsidTr="002C6825">
              <w:trPr>
                <w:tblCellSpacing w:w="15" w:type="dxa"/>
              </w:trPr>
              <w:tc>
                <w:tcPr>
                  <w:tcW w:w="37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D6D32" w:rsidRDefault="005D6D32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07735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7.2.</w:t>
                  </w:r>
                </w:p>
              </w:tc>
              <w:tc>
                <w:tcPr>
                  <w:tcW w:w="76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D6D32" w:rsidRDefault="005D6D32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  <w:p w:rsidR="0007237B" w:rsidRDefault="005D6D32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-</w:t>
                  </w:r>
                  <w:r w:rsidR="0007237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C6825" w:rsidRPr="0007735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материалы уголовных дел, в отношении трех </w:t>
                  </w:r>
                </w:p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07735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 более обвиняемых (подсудимых) лиц по одному делу;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D6D32" w:rsidRDefault="005D6D32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07735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как правило, не менее трех дней на изучение одного тома уголовного дела (либо отдельных томов уголовного дела, к которым возможно отнесение указанных признаков)</w:t>
                  </w:r>
                </w:p>
              </w:tc>
            </w:tr>
            <w:tr w:rsidR="002C6825" w:rsidRPr="00077350" w:rsidTr="002C682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C6825" w:rsidRPr="00077350" w:rsidRDefault="0007237B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2C6825" w:rsidRPr="0007735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материалы уголовных дел, в случаях предъявления обвинения по трем и более инкриминируемым преступлениям;</w:t>
                  </w:r>
                </w:p>
              </w:tc>
              <w:tc>
                <w:tcPr>
                  <w:tcW w:w="12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C6825" w:rsidRPr="00077350" w:rsidTr="002C682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C6825" w:rsidRPr="00077350" w:rsidRDefault="0007237B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2C6825" w:rsidRPr="0007735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материалы уголовных дел в отношении несовершеннолетних;</w:t>
                  </w:r>
                </w:p>
              </w:tc>
              <w:tc>
                <w:tcPr>
                  <w:tcW w:w="12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C6825" w:rsidRPr="00077350" w:rsidTr="002C682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C6825" w:rsidRPr="00077350" w:rsidRDefault="0007237B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2C6825" w:rsidRPr="0007735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материалы уголовных дел в отношении подозреваемых, обвиняемых (подсудимых), не владеющих языком, на котором ведется судопроизводство;</w:t>
                  </w:r>
                </w:p>
              </w:tc>
              <w:tc>
                <w:tcPr>
                  <w:tcW w:w="12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C6825" w:rsidRPr="00077350" w:rsidTr="002C682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C6825" w:rsidRPr="00077350" w:rsidRDefault="0007237B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2C6825" w:rsidRPr="0007735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материалы уголовных дел в отношении подозреваемых, обвиняемых (подсудимых), которые в силу физических и (или) психических недостатков не могут самостоятельно осуществлять свое право на защиту;</w:t>
                  </w:r>
                </w:p>
              </w:tc>
              <w:tc>
                <w:tcPr>
                  <w:tcW w:w="12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C6825" w:rsidRPr="00077350" w:rsidTr="002C682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C6825" w:rsidRPr="00077350" w:rsidRDefault="0007237B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2C6825" w:rsidRPr="0007735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материалы уголовных дел, связанных с экономическими преступлениями; иными сложными и специфическими составами предъявленного обвинения;</w:t>
                  </w:r>
                </w:p>
              </w:tc>
              <w:tc>
                <w:tcPr>
                  <w:tcW w:w="12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C6825" w:rsidRPr="00077350" w:rsidTr="002C682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C6825" w:rsidRPr="00077350" w:rsidRDefault="0007237B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2C6825" w:rsidRPr="0007735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материалы уголовных дел, содержащих объемные и сложные заключения судебных экспертиз не менее 10 листов либо многочисленные заключения судебных экспертиз;</w:t>
                  </w:r>
                </w:p>
              </w:tc>
              <w:tc>
                <w:tcPr>
                  <w:tcW w:w="12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C6825" w:rsidRPr="00077350" w:rsidTr="002C682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C6825" w:rsidRPr="00077350" w:rsidRDefault="0007237B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2C6825" w:rsidRPr="0007735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материалы уголовных дел, содержащие государственную и иную охраняемую федеральным законом тайну;</w:t>
                  </w:r>
                </w:p>
              </w:tc>
              <w:tc>
                <w:tcPr>
                  <w:tcW w:w="12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C6825" w:rsidRPr="00077350" w:rsidTr="002C682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C6825" w:rsidRPr="00077350" w:rsidRDefault="0007237B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2C6825" w:rsidRPr="0007735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дела, рассматриваемые Верховным Судом Российской Федерации, а также в суде с участием присяжных заседателей </w:t>
                  </w:r>
                </w:p>
              </w:tc>
              <w:tc>
                <w:tcPr>
                  <w:tcW w:w="12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6825" w:rsidRPr="00077350" w:rsidRDefault="002C6825" w:rsidP="00077350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C6825" w:rsidRPr="00077350" w:rsidRDefault="002C6825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2C6825" w:rsidRPr="00077350" w:rsidRDefault="00FA133E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7.2. Приведенные в настоящей Таблице критерии и соответствующие им сроки не могут расцениваться в качестве </w:t>
            </w:r>
            <w:proofErr w:type="gramStart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исчерпывающих</w:t>
            </w:r>
            <w:proofErr w:type="gramEnd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Так, в частности,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по делу в отношении нескольких обвиняемых, когда одному из них предъявлено обвинение, существенно отличающееся по инкриминируемым составам преступлений, фактическим обстоятельствам и содержанию доказательственной базы от обвинения, предъявленного другим соучастникам (меньший объем обвинения), защитнику такого обвиняемого может потребоваться меньшее количество времени для изучения материалов, касающихся его подзащитного, по сравнению </w:t>
            </w:r>
            <w:proofErr w:type="gramStart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proofErr w:type="gramEnd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временем, необходимым защитникам других обвиняемых по этому делу. Дублирование идентичных материалов в нескольких томах уголовного дела также может повлечь сокращение времени, необходимого для изучения дела. </w:t>
            </w:r>
          </w:p>
          <w:p w:rsidR="002C6825" w:rsidRPr="00077350" w:rsidRDefault="00FA133E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Учитывая изложенное, защитник в каждом конкретном случае самостоятельно определяет время, необходимое ему для ознакомления с материалами уголовного дела. </w:t>
            </w:r>
          </w:p>
          <w:p w:rsidR="002C6825" w:rsidRPr="00077350" w:rsidRDefault="00FA133E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 этом не допускается злоупотребление адвокатом своими правами с целью намеренного затягивания сроков ознакомления с материалами уголовного дела.</w:t>
            </w:r>
          </w:p>
          <w:p w:rsidR="002C6825" w:rsidRPr="00077350" w:rsidRDefault="00FA133E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8. </w:t>
            </w:r>
            <w:proofErr w:type="gramStart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Участие защитника в иных судебных процессах, выполнение иных не терпящих отлагательства адвокатских поручений (например, участие в не терпящих отлагательства процессуальных действиях по уголовным делам) может явиться уважительной причиной увеличения продолжительности времени ознакомления с материалами уголовного дела.</w:t>
            </w:r>
            <w:proofErr w:type="gramEnd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Вместе с тем, при оценке уважительности указанных причин, следует учитывать положения Кодекса профессиональной этики адвоката о недопустимости принимать поручения на оказание юридической помощи в количестве заведомо большем, чем адвокат в состоянии выполнить.</w:t>
            </w:r>
          </w:p>
          <w:p w:rsidR="002C6825" w:rsidRPr="00077350" w:rsidRDefault="00FA133E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9. </w:t>
            </w:r>
            <w:proofErr w:type="gramStart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случае, когда лицо, проводящее следственное действие, или председательствующий в судебном заседании грубо нарушает закон и отказывает адвокату в возможности ознакомления с материалами уголовного дела, либо существенно и незаконно ограничивает таковое, тем самым лишая адвоката возможности разумно, добросовестно и квалифицированно выполнять обязанности защитника, адвокат вправе отказаться выполнять следственное и иное процессуальное действие и (или) покинуть место его проведения, а равно</w:t>
            </w:r>
            <w:proofErr w:type="gramEnd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отказаться от участия в судебном заседании. Такие действия не могут расцениваться в качестве отказа адвоката от принятой на себя защиты. Подобные действия должны </w:t>
            </w:r>
            <w:proofErr w:type="gramStart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расцениваться</w:t>
            </w:r>
            <w:proofErr w:type="gramEnd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как исключительные и могут быть обусловлены таким положением дел, когда дальнейшее участие адвоката в следственном и ином процессуальном действии, либо судебном заседании не только не служит целям защиты обвиняемого, но и, по факту, </w:t>
            </w:r>
            <w:proofErr w:type="spellStart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легитимизирует</w:t>
            </w:r>
            <w:proofErr w:type="spellEnd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нарушения его прав. Подобным действиям, как правило, должно предшествовать надлежащее процессуальное реагирование адвоката на неправомерные действия следователя, судьи, других участников уголовного судопроизводства, а также заявление адвоката о невозможности честно, разумно, добросовестно и квалифицированно оказывать юридическую помощь подзащитному. Названные действия должны быть согласованы с подзащитным*. </w:t>
            </w:r>
          </w:p>
          <w:p w:rsidR="002C6825" w:rsidRPr="00077350" w:rsidRDefault="00FA133E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 случаях, когда адвокат, руководствуясь разъяснениями, изложенными в настоящем пункте, отказался выполнять следственное и иное процессуальное действие, покинул место его проведения, а равно отказался от участия в судебном заседании, об этом надлежит незамедлительно сообщать в Совет Адвокатской палаты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Иркутской области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</w:p>
          <w:p w:rsidR="002C6825" w:rsidRDefault="00FA133E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 Настоящие Разъяснения, с учетом соответствующей специфики, распространяют свое действие также на случаи ознакомления с материалами уголовного дела адвоката, представляющего интересы потерпевшего.</w:t>
            </w:r>
          </w:p>
          <w:p w:rsidR="00FA133E" w:rsidRPr="00077350" w:rsidRDefault="00FA133E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C6825" w:rsidRPr="00077350" w:rsidRDefault="00FA133E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" w:name="sdendnote1anc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hyperlink r:id="rId8" w:anchor="sdendnote1sym" w:history="1">
              <w:r w:rsidR="002C6825" w:rsidRPr="00FA133E">
                <w:rPr>
                  <w:rFonts w:ascii="Times New Roman" w:eastAsia="Times New Roman" w:hAnsi="Times New Roman" w:cs="Times New Roman"/>
                  <w:color w:val="404040"/>
                  <w:sz w:val="28"/>
                  <w:szCs w:val="28"/>
                  <w:lang w:eastAsia="ru-RU"/>
                </w:rPr>
                <w:t>*</w:t>
              </w:r>
            </w:hyperlink>
            <w:bookmarkEnd w:id="1"/>
            <w:r w:rsidR="002C6825"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 формулировании положений, содержащихся в пункте 9, учтены Разъяснения Экспертно-методической комиссии Совета Федеральной палаты адвокатов РФ в связи со случаями невыполнения адвокатами-защитниками своих профессиональных обязанностей, нарушающими права доверителей на защиту от 23 марта 2011 года.</w:t>
            </w:r>
          </w:p>
          <w:p w:rsidR="002C6825" w:rsidRPr="00077350" w:rsidRDefault="002C6825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773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077350" w:rsidRPr="00077350" w:rsidTr="002C682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350" w:rsidRPr="00077350" w:rsidRDefault="00077350" w:rsidP="0007735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CC56E4" w:rsidRPr="00077350" w:rsidRDefault="00CC56E4" w:rsidP="000773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CC56E4" w:rsidRPr="00077350" w:rsidSect="00FA133E">
      <w:headerReference w:type="default" r:id="rId9"/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F6" w:rsidRDefault="001D15F6" w:rsidP="00FA133E">
      <w:pPr>
        <w:spacing w:after="0" w:line="240" w:lineRule="auto"/>
      </w:pPr>
      <w:r>
        <w:separator/>
      </w:r>
    </w:p>
  </w:endnote>
  <w:endnote w:type="continuationSeparator" w:id="0">
    <w:p w:rsidR="001D15F6" w:rsidRDefault="001D15F6" w:rsidP="00FA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F6" w:rsidRDefault="001D15F6" w:rsidP="00FA133E">
      <w:pPr>
        <w:spacing w:after="0" w:line="240" w:lineRule="auto"/>
      </w:pPr>
      <w:r>
        <w:separator/>
      </w:r>
    </w:p>
  </w:footnote>
  <w:footnote w:type="continuationSeparator" w:id="0">
    <w:p w:rsidR="001D15F6" w:rsidRDefault="001D15F6" w:rsidP="00FA1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33E" w:rsidRDefault="00FA133E">
    <w:pPr>
      <w:pStyle w:val="a6"/>
      <w:jc w:val="center"/>
    </w:pPr>
  </w:p>
  <w:p w:rsidR="00FA133E" w:rsidRDefault="00FA13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25"/>
    <w:rsid w:val="000469E2"/>
    <w:rsid w:val="000542AC"/>
    <w:rsid w:val="0007237B"/>
    <w:rsid w:val="00077350"/>
    <w:rsid w:val="000C34B3"/>
    <w:rsid w:val="000E0812"/>
    <w:rsid w:val="001122F0"/>
    <w:rsid w:val="001241AC"/>
    <w:rsid w:val="00146194"/>
    <w:rsid w:val="00180F30"/>
    <w:rsid w:val="001B5868"/>
    <w:rsid w:val="001C615C"/>
    <w:rsid w:val="001D15F6"/>
    <w:rsid w:val="001F14ED"/>
    <w:rsid w:val="001F2778"/>
    <w:rsid w:val="001F6290"/>
    <w:rsid w:val="002157DA"/>
    <w:rsid w:val="00237A42"/>
    <w:rsid w:val="00251A5C"/>
    <w:rsid w:val="00280A40"/>
    <w:rsid w:val="00291FA9"/>
    <w:rsid w:val="002A60B9"/>
    <w:rsid w:val="002C6825"/>
    <w:rsid w:val="002D5962"/>
    <w:rsid w:val="002F1FD0"/>
    <w:rsid w:val="00317E54"/>
    <w:rsid w:val="003B125E"/>
    <w:rsid w:val="003C78D3"/>
    <w:rsid w:val="003D6716"/>
    <w:rsid w:val="0040795C"/>
    <w:rsid w:val="00471781"/>
    <w:rsid w:val="00495A55"/>
    <w:rsid w:val="004B128C"/>
    <w:rsid w:val="004B31F0"/>
    <w:rsid w:val="004F014B"/>
    <w:rsid w:val="00510A88"/>
    <w:rsid w:val="005140B4"/>
    <w:rsid w:val="00522D35"/>
    <w:rsid w:val="005513BC"/>
    <w:rsid w:val="00553873"/>
    <w:rsid w:val="005669BF"/>
    <w:rsid w:val="005B47A8"/>
    <w:rsid w:val="005C316D"/>
    <w:rsid w:val="005D6D32"/>
    <w:rsid w:val="005E4AE0"/>
    <w:rsid w:val="00611AB9"/>
    <w:rsid w:val="00636DE7"/>
    <w:rsid w:val="0065796D"/>
    <w:rsid w:val="00705ACF"/>
    <w:rsid w:val="00783D2F"/>
    <w:rsid w:val="007B00F8"/>
    <w:rsid w:val="007C210E"/>
    <w:rsid w:val="007C6E66"/>
    <w:rsid w:val="007E1582"/>
    <w:rsid w:val="007F2ADE"/>
    <w:rsid w:val="00806E90"/>
    <w:rsid w:val="00812424"/>
    <w:rsid w:val="008468B8"/>
    <w:rsid w:val="00855A49"/>
    <w:rsid w:val="00874319"/>
    <w:rsid w:val="00875433"/>
    <w:rsid w:val="00877AD9"/>
    <w:rsid w:val="00926DFF"/>
    <w:rsid w:val="00952DC1"/>
    <w:rsid w:val="00960AED"/>
    <w:rsid w:val="009962C3"/>
    <w:rsid w:val="009E5887"/>
    <w:rsid w:val="009F077F"/>
    <w:rsid w:val="00A6129E"/>
    <w:rsid w:val="00A718E0"/>
    <w:rsid w:val="00A90B73"/>
    <w:rsid w:val="00AB7F4D"/>
    <w:rsid w:val="00AF4E64"/>
    <w:rsid w:val="00B13C81"/>
    <w:rsid w:val="00B2061A"/>
    <w:rsid w:val="00B30329"/>
    <w:rsid w:val="00B32C2A"/>
    <w:rsid w:val="00B54C91"/>
    <w:rsid w:val="00B64AE2"/>
    <w:rsid w:val="00B77F7C"/>
    <w:rsid w:val="00BC307C"/>
    <w:rsid w:val="00BD211A"/>
    <w:rsid w:val="00BF1F02"/>
    <w:rsid w:val="00C52BC1"/>
    <w:rsid w:val="00C7120F"/>
    <w:rsid w:val="00CC56E4"/>
    <w:rsid w:val="00CF09B4"/>
    <w:rsid w:val="00CF4B88"/>
    <w:rsid w:val="00D57A26"/>
    <w:rsid w:val="00D57D16"/>
    <w:rsid w:val="00DB3097"/>
    <w:rsid w:val="00DF045D"/>
    <w:rsid w:val="00E36CAE"/>
    <w:rsid w:val="00E40F7B"/>
    <w:rsid w:val="00E4261C"/>
    <w:rsid w:val="00E47B93"/>
    <w:rsid w:val="00E949E3"/>
    <w:rsid w:val="00EA74FE"/>
    <w:rsid w:val="00EC5887"/>
    <w:rsid w:val="00EC5D6F"/>
    <w:rsid w:val="00F377B9"/>
    <w:rsid w:val="00F4435A"/>
    <w:rsid w:val="00F47CDC"/>
    <w:rsid w:val="00F577C4"/>
    <w:rsid w:val="00F80EC9"/>
    <w:rsid w:val="00F9081F"/>
    <w:rsid w:val="00FA133E"/>
    <w:rsid w:val="00FD6D6B"/>
    <w:rsid w:val="00FE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82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7735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A1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133E"/>
  </w:style>
  <w:style w:type="paragraph" w:styleId="a8">
    <w:name w:val="footer"/>
    <w:basedOn w:val="a"/>
    <w:link w:val="a9"/>
    <w:uiPriority w:val="99"/>
    <w:unhideWhenUsed/>
    <w:rsid w:val="00FA1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13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82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7735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A1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133E"/>
  </w:style>
  <w:style w:type="paragraph" w:styleId="a8">
    <w:name w:val="footer"/>
    <w:basedOn w:val="a"/>
    <w:link w:val="a9"/>
    <w:uiPriority w:val="99"/>
    <w:unhideWhenUsed/>
    <w:rsid w:val="00FA1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6853">
                          <w:marLeft w:val="30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0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u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546E0-DD5C-4CFC-9E77-EAD62AF0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Секретарь</cp:lastModifiedBy>
  <cp:revision>2</cp:revision>
  <dcterms:created xsi:type="dcterms:W3CDTF">2023-05-31T03:57:00Z</dcterms:created>
  <dcterms:modified xsi:type="dcterms:W3CDTF">2023-05-31T03:57:00Z</dcterms:modified>
</cp:coreProperties>
</file>